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F85" w:rsidRPr="006D5F85" w:rsidRDefault="006D5F85" w:rsidP="006D5F85">
      <w:pPr>
        <w:tabs>
          <w:tab w:val="left" w:pos="2410"/>
          <w:tab w:val="left" w:pos="3119"/>
        </w:tabs>
        <w:jc w:val="center"/>
        <w:rPr>
          <w:b/>
          <w:bCs/>
          <w:sz w:val="24"/>
          <w:szCs w:val="24"/>
        </w:rPr>
      </w:pPr>
      <w:r w:rsidRPr="006D5F85">
        <w:rPr>
          <w:b/>
          <w:bCs/>
          <w:sz w:val="24"/>
          <w:szCs w:val="24"/>
        </w:rPr>
        <w:t>B1</w:t>
      </w:r>
    </w:p>
    <w:p w:rsidR="00311158" w:rsidRPr="006D5F85" w:rsidRDefault="00311158" w:rsidP="006D5F85">
      <w:pPr>
        <w:tabs>
          <w:tab w:val="left" w:pos="2410"/>
          <w:tab w:val="left" w:pos="3119"/>
        </w:tabs>
        <w:jc w:val="center"/>
        <w:rPr>
          <w:b/>
          <w:bCs/>
          <w:sz w:val="24"/>
          <w:szCs w:val="24"/>
        </w:rPr>
      </w:pPr>
      <w:r w:rsidRPr="006D5F85">
        <w:rPr>
          <w:b/>
          <w:bCs/>
          <w:sz w:val="24"/>
          <w:szCs w:val="24"/>
        </w:rPr>
        <w:t>IBRÁNY VÁROS KÉPVISELŐ- TESTÜLETÉNEK</w:t>
      </w:r>
    </w:p>
    <w:p w:rsidR="00311158" w:rsidRPr="006D5F85" w:rsidRDefault="006D5F85" w:rsidP="006854D7">
      <w:pPr>
        <w:spacing w:before="240"/>
        <w:jc w:val="center"/>
        <w:rPr>
          <w:b/>
          <w:bCs/>
          <w:sz w:val="24"/>
          <w:szCs w:val="24"/>
        </w:rPr>
      </w:pPr>
      <w:r w:rsidRPr="006D5F85">
        <w:rPr>
          <w:b/>
          <w:bCs/>
          <w:sz w:val="24"/>
          <w:szCs w:val="24"/>
        </w:rPr>
        <w:t>4</w:t>
      </w:r>
      <w:r w:rsidR="00311158" w:rsidRPr="006D5F85">
        <w:rPr>
          <w:b/>
          <w:bCs/>
          <w:sz w:val="24"/>
          <w:szCs w:val="24"/>
        </w:rPr>
        <w:t>/201</w:t>
      </w:r>
      <w:r w:rsidR="00231AEC" w:rsidRPr="006D5F85">
        <w:rPr>
          <w:b/>
          <w:bCs/>
          <w:sz w:val="24"/>
          <w:szCs w:val="24"/>
        </w:rPr>
        <w:t>8</w:t>
      </w:r>
      <w:r w:rsidRPr="006D5F85">
        <w:rPr>
          <w:b/>
          <w:bCs/>
          <w:sz w:val="24"/>
          <w:szCs w:val="24"/>
        </w:rPr>
        <w:t>. (II.20.</w:t>
      </w:r>
      <w:r w:rsidR="00311158" w:rsidRPr="006D5F85">
        <w:rPr>
          <w:b/>
          <w:bCs/>
          <w:sz w:val="24"/>
          <w:szCs w:val="24"/>
        </w:rPr>
        <w:t>) önkormányzati rendelete</w:t>
      </w:r>
    </w:p>
    <w:p w:rsidR="00311158" w:rsidRPr="006D5F85" w:rsidRDefault="00311158" w:rsidP="00183779">
      <w:pPr>
        <w:jc w:val="center"/>
        <w:rPr>
          <w:b/>
          <w:bCs/>
          <w:sz w:val="24"/>
          <w:szCs w:val="24"/>
        </w:rPr>
      </w:pPr>
      <w:r w:rsidRPr="006D5F85">
        <w:rPr>
          <w:b/>
          <w:bCs/>
          <w:sz w:val="24"/>
          <w:szCs w:val="24"/>
        </w:rPr>
        <w:t>Ibrány Város Önkormányzata 201</w:t>
      </w:r>
      <w:r w:rsidR="00231AEC" w:rsidRPr="006D5F85">
        <w:rPr>
          <w:b/>
          <w:bCs/>
          <w:sz w:val="24"/>
          <w:szCs w:val="24"/>
        </w:rPr>
        <w:t>8</w:t>
      </w:r>
      <w:r w:rsidRPr="006D5F85">
        <w:rPr>
          <w:b/>
          <w:bCs/>
          <w:sz w:val="24"/>
          <w:szCs w:val="24"/>
        </w:rPr>
        <w:t xml:space="preserve">. évi költségvetéséről és a költségvetés vitelének szabályairól </w:t>
      </w:r>
    </w:p>
    <w:p w:rsidR="00311158" w:rsidRPr="006D5F85" w:rsidRDefault="00311158" w:rsidP="00183779">
      <w:pPr>
        <w:rPr>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 évi költségvetését:</w:t>
      </w:r>
    </w:p>
    <w:tbl>
      <w:tblPr>
        <w:tblW w:w="0" w:type="auto"/>
        <w:jc w:val="center"/>
        <w:tblLayout w:type="fixed"/>
        <w:tblCellMar>
          <w:left w:w="70" w:type="dxa"/>
          <w:right w:w="70" w:type="dxa"/>
        </w:tblCellMar>
        <w:tblLook w:val="0000"/>
      </w:tblPr>
      <w:tblGrid>
        <w:gridCol w:w="2624"/>
        <w:gridCol w:w="4086"/>
      </w:tblGrid>
      <w:tr w:rsidR="00053126" w:rsidRPr="006167E9" w:rsidTr="006B5146">
        <w:trPr>
          <w:trHeight w:val="379"/>
          <w:jc w:val="center"/>
        </w:trPr>
        <w:tc>
          <w:tcPr>
            <w:tcW w:w="2624" w:type="dxa"/>
          </w:tcPr>
          <w:p w:rsidR="00053126" w:rsidRPr="006167E9" w:rsidRDefault="00053126" w:rsidP="00E50300">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w:t>
            </w:r>
            <w:r w:rsidR="006B5146">
              <w:rPr>
                <w:rFonts w:ascii="Garamond" w:hAnsi="Garamond" w:cs="Garamond"/>
                <w:b/>
                <w:bCs/>
                <w:sz w:val="24"/>
                <w:szCs w:val="24"/>
              </w:rPr>
              <w:t>42</w:t>
            </w:r>
            <w:r w:rsidR="00E50300">
              <w:rPr>
                <w:rFonts w:ascii="Garamond" w:hAnsi="Garamond" w:cs="Garamond"/>
                <w:b/>
                <w:bCs/>
                <w:sz w:val="24"/>
                <w:szCs w:val="24"/>
              </w:rPr>
              <w:t>3</w:t>
            </w:r>
            <w:r w:rsidRPr="006167E9">
              <w:rPr>
                <w:rFonts w:ascii="Garamond" w:hAnsi="Garamond" w:cs="Garamond"/>
                <w:b/>
                <w:bCs/>
                <w:sz w:val="24"/>
                <w:szCs w:val="24"/>
              </w:rPr>
              <w:t>.</w:t>
            </w:r>
            <w:r w:rsidR="00E50300">
              <w:rPr>
                <w:rFonts w:ascii="Garamond" w:hAnsi="Garamond" w:cs="Garamond"/>
                <w:b/>
                <w:bCs/>
                <w:sz w:val="24"/>
                <w:szCs w:val="24"/>
              </w:rPr>
              <w:t>133</w:t>
            </w:r>
            <w:r w:rsidRPr="006167E9">
              <w:rPr>
                <w:rFonts w:ascii="Garamond" w:hAnsi="Garamond" w:cs="Garamond"/>
                <w:b/>
                <w:bCs/>
                <w:sz w:val="24"/>
                <w:szCs w:val="24"/>
              </w:rPr>
              <w:t xml:space="preserve"> 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6B5146" w:rsidP="001806B1">
            <w:pPr>
              <w:tabs>
                <w:tab w:val="left" w:pos="399"/>
              </w:tabs>
              <w:ind w:left="397" w:hanging="397"/>
              <w:jc w:val="both"/>
              <w:rPr>
                <w:rFonts w:ascii="Garamond" w:hAnsi="Garamond" w:cs="Garamond"/>
                <w:b/>
                <w:bCs/>
                <w:sz w:val="24"/>
                <w:szCs w:val="24"/>
              </w:rPr>
            </w:pPr>
            <w:r>
              <w:rPr>
                <w:rFonts w:ascii="Garamond" w:hAnsi="Garamond" w:cs="Garamond"/>
                <w:b/>
                <w:bCs/>
                <w:sz w:val="24"/>
                <w:szCs w:val="24"/>
              </w:rPr>
              <w:t>2</w:t>
            </w:r>
            <w:r w:rsidR="00053126" w:rsidRPr="006167E9">
              <w:rPr>
                <w:rFonts w:ascii="Garamond" w:hAnsi="Garamond" w:cs="Garamond"/>
                <w:b/>
                <w:bCs/>
                <w:sz w:val="24"/>
                <w:szCs w:val="24"/>
              </w:rPr>
              <w:t>.</w:t>
            </w:r>
            <w:r w:rsidR="001806B1">
              <w:rPr>
                <w:rFonts w:ascii="Garamond" w:hAnsi="Garamond" w:cs="Garamond"/>
                <w:b/>
                <w:bCs/>
                <w:sz w:val="24"/>
                <w:szCs w:val="24"/>
              </w:rPr>
              <w:t>095</w:t>
            </w:r>
            <w:r w:rsidR="00053126" w:rsidRPr="006167E9">
              <w:rPr>
                <w:rFonts w:ascii="Garamond" w:hAnsi="Garamond" w:cs="Garamond"/>
                <w:b/>
                <w:bCs/>
                <w:sz w:val="24"/>
                <w:szCs w:val="24"/>
              </w:rPr>
              <w:t>.</w:t>
            </w:r>
            <w:r w:rsidR="001806B1">
              <w:rPr>
                <w:rFonts w:ascii="Garamond" w:hAnsi="Garamond" w:cs="Garamond"/>
                <w:b/>
                <w:bCs/>
                <w:sz w:val="24"/>
                <w:szCs w:val="24"/>
              </w:rPr>
              <w:t>169</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6B5146">
              <w:rPr>
                <w:rFonts w:ascii="Garamond" w:hAnsi="Garamond" w:cs="Garamond"/>
                <w:b/>
                <w:bCs/>
                <w:sz w:val="24"/>
                <w:szCs w:val="24"/>
              </w:rPr>
              <w:t>6</w:t>
            </w:r>
            <w:r w:rsidR="001806B1">
              <w:rPr>
                <w:rFonts w:ascii="Garamond" w:hAnsi="Garamond" w:cs="Garamond"/>
                <w:b/>
                <w:bCs/>
                <w:sz w:val="24"/>
                <w:szCs w:val="24"/>
              </w:rPr>
              <w:t>72</w:t>
            </w:r>
            <w:r w:rsidRPr="006167E9">
              <w:rPr>
                <w:rFonts w:ascii="Garamond" w:hAnsi="Garamond" w:cs="Garamond"/>
                <w:b/>
                <w:bCs/>
                <w:sz w:val="24"/>
                <w:szCs w:val="24"/>
              </w:rPr>
              <w:t>.</w:t>
            </w:r>
            <w:r w:rsidR="001806B1">
              <w:rPr>
                <w:rFonts w:ascii="Garamond" w:hAnsi="Garamond" w:cs="Garamond"/>
                <w:b/>
                <w:bCs/>
                <w:sz w:val="24"/>
                <w:szCs w:val="24"/>
              </w:rPr>
              <w:t>036</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B5146">
              <w:rPr>
                <w:rFonts w:ascii="Garamond" w:hAnsi="Garamond" w:cs="Garamond"/>
                <w:b/>
                <w:bCs/>
                <w:sz w:val="24"/>
                <w:szCs w:val="24"/>
              </w:rPr>
              <w:t>2</w:t>
            </w:r>
            <w:r w:rsidR="00E50300">
              <w:rPr>
                <w:rFonts w:ascii="Garamond" w:hAnsi="Garamond" w:cs="Garamond"/>
                <w:b/>
                <w:bCs/>
                <w:sz w:val="24"/>
                <w:szCs w:val="24"/>
              </w:rPr>
              <w:t>0</w:t>
            </w:r>
            <w:r w:rsidR="001806B1">
              <w:rPr>
                <w:rFonts w:ascii="Garamond" w:hAnsi="Garamond" w:cs="Garamond"/>
                <w:b/>
                <w:bCs/>
                <w:sz w:val="24"/>
                <w:szCs w:val="24"/>
              </w:rPr>
              <w:t>7</w:t>
            </w:r>
            <w:r w:rsidR="006B5146">
              <w:rPr>
                <w:rFonts w:ascii="Garamond" w:hAnsi="Garamond" w:cs="Garamond"/>
                <w:b/>
                <w:bCs/>
                <w:sz w:val="24"/>
                <w:szCs w:val="24"/>
              </w:rPr>
              <w:t>.5</w:t>
            </w:r>
            <w:r w:rsidR="001806B1">
              <w:rPr>
                <w:rFonts w:ascii="Garamond" w:hAnsi="Garamond" w:cs="Garamond"/>
                <w:b/>
                <w:bCs/>
                <w:sz w:val="24"/>
                <w:szCs w:val="24"/>
              </w:rPr>
              <w:t>53</w:t>
            </w:r>
            <w:r w:rsidRPr="006167E9">
              <w:rPr>
                <w:rFonts w:ascii="Garamond" w:hAnsi="Garamond" w:cs="Garamond"/>
                <w:b/>
                <w:bCs/>
                <w:sz w:val="24"/>
                <w:szCs w:val="24"/>
              </w:rPr>
              <w:t xml:space="preserve"> E Ft</w:t>
            </w:r>
          </w:p>
          <w:p w:rsidR="00311158" w:rsidRPr="006167E9" w:rsidRDefault="00311158" w:rsidP="00E50300">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B5146">
              <w:rPr>
                <w:rFonts w:ascii="Garamond" w:hAnsi="Garamond" w:cs="Garamond"/>
                <w:b/>
                <w:bCs/>
                <w:sz w:val="24"/>
                <w:szCs w:val="24"/>
              </w:rPr>
              <w:t>46</w:t>
            </w:r>
            <w:r w:rsidR="00E50300">
              <w:rPr>
                <w:rFonts w:ascii="Garamond" w:hAnsi="Garamond" w:cs="Garamond"/>
                <w:b/>
                <w:bCs/>
                <w:sz w:val="24"/>
                <w:szCs w:val="24"/>
              </w:rPr>
              <w:t>4</w:t>
            </w:r>
            <w:r w:rsidR="006B5146">
              <w:rPr>
                <w:rFonts w:ascii="Garamond" w:hAnsi="Garamond" w:cs="Garamond"/>
                <w:b/>
                <w:bCs/>
                <w:sz w:val="24"/>
                <w:szCs w:val="24"/>
              </w:rPr>
              <w:t>.</w:t>
            </w:r>
            <w:r w:rsidR="00E50300">
              <w:rPr>
                <w:rFonts w:ascii="Garamond" w:hAnsi="Garamond" w:cs="Garamond"/>
                <w:b/>
                <w:bCs/>
                <w:sz w:val="24"/>
                <w:szCs w:val="24"/>
              </w:rPr>
              <w:t>443</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A működési hiány belső finanszírozásának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6B5146">
        <w:rPr>
          <w:rFonts w:ascii="Garamond" w:hAnsi="Garamond" w:cs="Garamond"/>
          <w:sz w:val="24"/>
          <w:szCs w:val="24"/>
        </w:rPr>
        <w:t>2</w:t>
      </w:r>
      <w:r w:rsidR="001806B1">
        <w:rPr>
          <w:rFonts w:ascii="Garamond" w:hAnsi="Garamond" w:cs="Garamond"/>
          <w:sz w:val="24"/>
          <w:szCs w:val="24"/>
        </w:rPr>
        <w:t>26</w:t>
      </w:r>
      <w:r w:rsidR="006B5146">
        <w:rPr>
          <w:rFonts w:ascii="Garamond" w:hAnsi="Garamond" w:cs="Garamond"/>
          <w:sz w:val="24"/>
          <w:szCs w:val="24"/>
        </w:rPr>
        <w:t>.2</w:t>
      </w:r>
      <w:r w:rsidR="001806B1">
        <w:rPr>
          <w:rFonts w:ascii="Garamond" w:hAnsi="Garamond" w:cs="Garamond"/>
          <w:sz w:val="24"/>
          <w:szCs w:val="24"/>
        </w:rPr>
        <w:t>00</w:t>
      </w:r>
      <w:r w:rsidR="006B5146">
        <w:rPr>
          <w:rFonts w:ascii="Garamond" w:hAnsi="Garamond" w:cs="Garamond"/>
          <w:sz w:val="24"/>
          <w:szCs w:val="24"/>
        </w:rPr>
        <w:t>.</w:t>
      </w:r>
      <w:r w:rsidR="001806B1">
        <w:rPr>
          <w:rFonts w:ascii="Garamond" w:hAnsi="Garamond" w:cs="Garamond"/>
          <w:sz w:val="24"/>
          <w:szCs w:val="24"/>
        </w:rPr>
        <w:t>199</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finanszírozása érdekében </w:t>
      </w:r>
      <w:r w:rsidR="006B5146">
        <w:rPr>
          <w:rFonts w:ascii="Garamond" w:hAnsi="Garamond" w:cs="Garamond"/>
          <w:sz w:val="24"/>
          <w:szCs w:val="24"/>
        </w:rPr>
        <w:t>4</w:t>
      </w:r>
      <w:r w:rsidR="00E50300">
        <w:rPr>
          <w:rFonts w:ascii="Garamond" w:hAnsi="Garamond" w:cs="Garamond"/>
          <w:sz w:val="24"/>
          <w:szCs w:val="24"/>
        </w:rPr>
        <w:t>53</w:t>
      </w:r>
      <w:r w:rsidR="006B5146">
        <w:rPr>
          <w:rFonts w:ascii="Garamond" w:hAnsi="Garamond" w:cs="Garamond"/>
          <w:sz w:val="24"/>
          <w:szCs w:val="24"/>
        </w:rPr>
        <w:t>.</w:t>
      </w:r>
      <w:r w:rsidR="00E50300">
        <w:rPr>
          <w:rFonts w:ascii="Garamond" w:hAnsi="Garamond" w:cs="Garamond"/>
          <w:sz w:val="24"/>
          <w:szCs w:val="24"/>
        </w:rPr>
        <w:t>347</w:t>
      </w:r>
      <w:r w:rsidR="006B5146">
        <w:rPr>
          <w:rFonts w:ascii="Garamond" w:hAnsi="Garamond" w:cs="Garamond"/>
          <w:sz w:val="24"/>
          <w:szCs w:val="24"/>
        </w:rPr>
        <w:t>.</w:t>
      </w:r>
      <w:r w:rsidR="00E50300">
        <w:rPr>
          <w:rFonts w:ascii="Garamond" w:hAnsi="Garamond" w:cs="Garamond"/>
          <w:sz w:val="24"/>
          <w:szCs w:val="24"/>
        </w:rPr>
        <w:t>293</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6B5146">
        <w:rPr>
          <w:rFonts w:ascii="Garamond" w:hAnsi="Garamond" w:cs="Garamond"/>
          <w:sz w:val="24"/>
          <w:szCs w:val="24"/>
        </w:rPr>
        <w:t>8</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6B5146">
        <w:rPr>
          <w:rFonts w:ascii="Garamond" w:hAnsi="Garamond" w:cs="Garamond"/>
          <w:sz w:val="24"/>
          <w:szCs w:val="24"/>
        </w:rPr>
        <w:t>8</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6B5146">
        <w:rPr>
          <w:rFonts w:ascii="Garamond" w:hAnsi="Garamond" w:cs="Garamond"/>
          <w:sz w:val="24"/>
          <w:szCs w:val="24"/>
        </w:rPr>
        <w:t>8</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6B5146">
        <w:rPr>
          <w:rFonts w:ascii="Garamond" w:hAnsi="Garamond" w:cs="Garamond"/>
          <w:sz w:val="24"/>
          <w:szCs w:val="24"/>
        </w:rPr>
        <w:t>8</w:t>
      </w:r>
      <w:r w:rsidRPr="00B17E4C">
        <w:rPr>
          <w:rFonts w:ascii="Garamond" w:hAnsi="Garamond" w:cs="Garamond"/>
          <w:sz w:val="24"/>
          <w:szCs w:val="24"/>
        </w:rPr>
        <w:t>. évben 42.515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254CC1" w:rsidRDefault="00254CC1" w:rsidP="00254CC1">
      <w:pPr>
        <w:spacing w:before="240"/>
        <w:ind w:left="456" w:hanging="456"/>
        <w:jc w:val="both"/>
        <w:rPr>
          <w:rFonts w:ascii="Garamond" w:hAnsi="Garamond" w:cs="Garamond"/>
          <w:sz w:val="24"/>
          <w:szCs w:val="24"/>
        </w:rPr>
      </w:pPr>
      <w:r w:rsidRPr="00254CC1">
        <w:rPr>
          <w:rFonts w:ascii="Garamond" w:hAnsi="Garamond" w:cs="Garamond"/>
          <w:sz w:val="24"/>
          <w:szCs w:val="24"/>
        </w:rPr>
        <w:t xml:space="preserve">(18) </w:t>
      </w:r>
      <w:r w:rsidRPr="00254CC1">
        <w:rPr>
          <w:rFonts w:ascii="Garamond" w:hAnsi="Garamond" w:cs="Garamond"/>
          <w:sz w:val="24"/>
          <w:szCs w:val="24"/>
        </w:rPr>
        <w:tab/>
        <w:t xml:space="preserve">Az Önkormányzat a kiadásai között 70.523.591 Ft céltartalékot állapít meg, melyből 8.000.000 Ft a Református </w:t>
      </w:r>
      <w:r w:rsidR="002D0898">
        <w:rPr>
          <w:rFonts w:ascii="Garamond" w:hAnsi="Garamond" w:cs="Garamond"/>
          <w:sz w:val="24"/>
          <w:szCs w:val="24"/>
        </w:rPr>
        <w:t>á</w:t>
      </w:r>
      <w:r w:rsidRPr="00254CC1">
        <w:rPr>
          <w:rFonts w:ascii="Garamond" w:hAnsi="Garamond" w:cs="Garamond"/>
          <w:sz w:val="24"/>
          <w:szCs w:val="24"/>
        </w:rPr>
        <w:t xml:space="preserve">ltalános iskola </w:t>
      </w:r>
      <w:r w:rsidR="002D0898">
        <w:rPr>
          <w:rFonts w:ascii="Garamond" w:hAnsi="Garamond" w:cs="Garamond"/>
          <w:sz w:val="24"/>
          <w:szCs w:val="24"/>
        </w:rPr>
        <w:t>beindulásához</w:t>
      </w:r>
      <w:r w:rsidRPr="00254CC1">
        <w:rPr>
          <w:rFonts w:ascii="Garamond" w:hAnsi="Garamond" w:cs="Garamond"/>
          <w:sz w:val="24"/>
          <w:szCs w:val="24"/>
        </w:rPr>
        <w:t xml:space="preserve"> kapcsolódó infrastrukturális beruházási kiadásainak, míg 62.523.591 Ft az Európai Uniós pályázatok 2019-2020-2021. évben jelentkező kiadásainak fedezetére szolgál.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rendelet vonatkozó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83123C">
        <w:rPr>
          <w:rFonts w:ascii="Garamond" w:hAnsi="Garamond" w:cs="Garamond"/>
          <w:sz w:val="24"/>
          <w:szCs w:val="24"/>
        </w:rPr>
        <w:t>8</w:t>
      </w:r>
      <w:r w:rsidRPr="00B17E4C">
        <w:rPr>
          <w:rFonts w:ascii="Garamond" w:hAnsi="Garamond" w:cs="Garamond"/>
          <w:sz w:val="24"/>
          <w:szCs w:val="24"/>
        </w:rPr>
        <w:t xml:space="preserve">. évben tervezett feladatok végrehajtásához az önkormányzati gazdálkodás zavartalanságának biztosítására az OTP Bank Nyrt-vel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83123C">
        <w:rPr>
          <w:rFonts w:ascii="Garamond" w:hAnsi="Garamond" w:cs="Garamond"/>
          <w:sz w:val="24"/>
          <w:szCs w:val="24"/>
        </w:rPr>
        <w:t>8</w:t>
      </w:r>
      <w:r w:rsidRPr="00B17E4C">
        <w:rPr>
          <w:rFonts w:ascii="Garamond" w:hAnsi="Garamond" w:cs="Garamond"/>
          <w:sz w:val="24"/>
          <w:szCs w:val="24"/>
        </w:rPr>
        <w:t xml:space="preserve">. évi felhalmozási kiadások finanszírozására további </w:t>
      </w:r>
      <w:r w:rsidR="0083123C">
        <w:rPr>
          <w:rFonts w:ascii="Garamond" w:hAnsi="Garamond" w:cs="Garamond"/>
          <w:sz w:val="24"/>
          <w:szCs w:val="24"/>
        </w:rPr>
        <w:t>16.</w:t>
      </w:r>
      <w:r w:rsidRPr="00B17E4C">
        <w:rPr>
          <w:rFonts w:ascii="Garamond" w:hAnsi="Garamond" w:cs="Garamond"/>
          <w:sz w:val="24"/>
          <w:szCs w:val="24"/>
        </w:rPr>
        <w:t>4</w:t>
      </w:r>
      <w:r w:rsidR="0083123C">
        <w:rPr>
          <w:rFonts w:ascii="Garamond" w:hAnsi="Garamond" w:cs="Garamond"/>
          <w:sz w:val="24"/>
          <w:szCs w:val="24"/>
        </w:rPr>
        <w:t>00</w:t>
      </w:r>
      <w:r w:rsidRPr="00B17E4C">
        <w:rPr>
          <w:rFonts w:ascii="Garamond" w:hAnsi="Garamond" w:cs="Garamond"/>
          <w:sz w:val="24"/>
          <w:szCs w:val="24"/>
        </w:rPr>
        <w:t>.000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83123C">
        <w:rPr>
          <w:rFonts w:ascii="Garamond" w:hAnsi="Garamond" w:cs="Garamond"/>
          <w:sz w:val="24"/>
          <w:szCs w:val="24"/>
        </w:rPr>
        <w:t>8</w:t>
      </w:r>
      <w:r>
        <w:rPr>
          <w:rFonts w:ascii="Garamond" w:hAnsi="Garamond" w:cs="Garamond"/>
          <w:sz w:val="24"/>
          <w:szCs w:val="24"/>
        </w:rPr>
        <w:t xml:space="preserve">. február </w:t>
      </w:r>
      <w:r w:rsidR="00C3488D">
        <w:rPr>
          <w:rFonts w:ascii="Garamond" w:hAnsi="Garamond" w:cs="Garamond"/>
          <w:sz w:val="24"/>
          <w:szCs w:val="24"/>
        </w:rPr>
        <w:t>15.</w:t>
      </w:r>
      <w:bookmarkStart w:id="0" w:name="_GoBack"/>
      <w:bookmarkEnd w:id="0"/>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tblPr>
      <w:tblGrid>
        <w:gridCol w:w="4492"/>
        <w:gridCol w:w="4580"/>
      </w:tblGrid>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Bakosiné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58" w:rsidRDefault="0031115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2AF62"/>
    <w:lvl w:ilvl="0">
      <w:numFmt w:val="bullet"/>
      <w:lvlText w:val="*"/>
      <w:lvlJc w:val="left"/>
    </w:lvl>
  </w:abstractNum>
  <w:abstractNum w:abstractNumId="1">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2E610193"/>
    <w:multiLevelType w:val="singleLevel"/>
    <w:tmpl w:val="29D674BC"/>
    <w:lvl w:ilvl="0">
      <w:start w:val="5"/>
      <w:numFmt w:val="decimal"/>
      <w:lvlText w:val="%1."/>
      <w:legacy w:legacy="1" w:legacySpace="0" w:legacyIndent="283"/>
      <w:lvlJc w:val="left"/>
      <w:pPr>
        <w:ind w:left="283" w:hanging="283"/>
      </w:pPr>
    </w:lvl>
  </w:abstractNum>
  <w:abstractNum w:abstractNumId="6">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78F343E6"/>
    <w:multiLevelType w:val="singleLevel"/>
    <w:tmpl w:val="1F824470"/>
    <w:lvl w:ilvl="0">
      <w:start w:val="6"/>
      <w:numFmt w:val="decimal"/>
      <w:lvlText w:val="%1."/>
      <w:legacy w:legacy="1" w:legacySpace="0" w:legacyIndent="283"/>
      <w:lvlJc w:val="left"/>
      <w:pPr>
        <w:ind w:left="283" w:hanging="283"/>
      </w:pPr>
    </w:lvl>
  </w:abstractNum>
  <w:abstractNum w:abstractNumId="12">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3">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1"/>
  </w:num>
  <w:num w:numId="4">
    <w:abstractNumId w:val="12"/>
  </w:num>
  <w:num w:numId="5">
    <w:abstractNumId w:val="6"/>
  </w:num>
  <w:num w:numId="6">
    <w:abstractNumId w:val="9"/>
  </w:num>
  <w:num w:numId="7">
    <w:abstractNumId w:val="10"/>
  </w:num>
  <w:num w:numId="8">
    <w:abstractNumId w:val="4"/>
  </w:num>
  <w:num w:numId="9">
    <w:abstractNumId w:val="13"/>
  </w:num>
  <w:num w:numId="10">
    <w:abstractNumId w:val="8"/>
  </w:num>
  <w:num w:numId="11">
    <w:abstractNumId w:val="1"/>
  </w:num>
  <w:num w:numId="12">
    <w:abstractNumId w:val="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0898"/>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5F85"/>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73C6"/>
    <w:rsid w:val="00C0745F"/>
    <w:rsid w:val="00C11812"/>
    <w:rsid w:val="00C263FF"/>
    <w:rsid w:val="00C3488D"/>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75FFD"/>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1888</Words>
  <Characters>14492</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Rita</cp:lastModifiedBy>
  <cp:revision>12</cp:revision>
  <cp:lastPrinted>2018-03-02T11:19:00Z</cp:lastPrinted>
  <dcterms:created xsi:type="dcterms:W3CDTF">2018-02-21T12:42:00Z</dcterms:created>
  <dcterms:modified xsi:type="dcterms:W3CDTF">2018-03-07T14:27:00Z</dcterms:modified>
</cp:coreProperties>
</file>