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13" w:rsidRDefault="001C3B13" w:rsidP="001C3B13">
      <w:pPr>
        <w:pStyle w:val="NormlWeb"/>
        <w:spacing w:after="0" w:afterAutospacing="0"/>
        <w:jc w:val="center"/>
      </w:pPr>
      <w:r>
        <w:rPr>
          <w:rStyle w:val="Kiemels2"/>
        </w:rPr>
        <w:t>A Nemzeti Választási Bizottság</w:t>
      </w:r>
    </w:p>
    <w:p w:rsidR="001C3B13" w:rsidRDefault="001C3B13" w:rsidP="001C3B13">
      <w:pPr>
        <w:pStyle w:val="NormlWeb"/>
        <w:jc w:val="center"/>
      </w:pPr>
      <w:r>
        <w:rPr>
          <w:rStyle w:val="Kiemels2"/>
        </w:rPr>
        <w:t>183/2019. számú határozata</w:t>
      </w:r>
    </w:p>
    <w:p w:rsidR="001C3B13" w:rsidRDefault="001C3B13" w:rsidP="001C3B13">
      <w:pPr>
        <w:pStyle w:val="NormlWeb"/>
        <w:spacing w:after="240" w:afterAutospacing="0"/>
        <w:jc w:val="both"/>
      </w:pPr>
      <w:r>
        <w:t>A Nemzeti Választási Bizottság a nemzetiségi önkormányzati képviselők 2019. évi általános választásának kitűzése tárgyában – 12 igen és 0 nem szavazattal – meghozta a következő</w:t>
      </w:r>
    </w:p>
    <w:p w:rsidR="001C3B13" w:rsidRDefault="001C3B13" w:rsidP="001C3B13">
      <w:pPr>
        <w:pStyle w:val="NormlWeb"/>
        <w:autoSpaceDE w:val="0"/>
        <w:autoSpaceDN w:val="0"/>
        <w:spacing w:after="240" w:afterAutospacing="0"/>
        <w:jc w:val="center"/>
      </w:pPr>
      <w:r>
        <w:rPr>
          <w:rStyle w:val="Kiemels2"/>
        </w:rPr>
        <w:t>határozatot:</w:t>
      </w:r>
    </w:p>
    <w:p w:rsidR="001C3B13" w:rsidRDefault="001C3B13" w:rsidP="001C3B13">
      <w:pPr>
        <w:pStyle w:val="NormlWeb"/>
        <w:spacing w:after="240" w:afterAutospacing="0"/>
        <w:jc w:val="both"/>
      </w:pPr>
      <w:r>
        <w:t>A Nemzeti Választási Bizottság a nemzetiségi önkormányzati képviselők 2019. évi általános választását 2019. október 13. napjára – a helyi önkormányzati képviselők és polgármesterek 2019. évi általános választásának napjára – tűzi ki.</w:t>
      </w:r>
    </w:p>
    <w:p w:rsidR="001C3B13" w:rsidRDefault="001C3B13" w:rsidP="001C3B13">
      <w:pPr>
        <w:pStyle w:val="NormlWeb"/>
        <w:spacing w:after="240" w:afterAutospacing="0"/>
        <w:jc w:val="both"/>
      </w:pPr>
      <w:r>
        <w:t xml:space="preserve">A Nemzeti Választási Bizottság a nemzetiségek jogairól szóló 2011. évi CLXXIX. törvény (a továbbiakban: </w:t>
      </w:r>
      <w:proofErr w:type="spellStart"/>
      <w:r>
        <w:t>Nektv</w:t>
      </w:r>
      <w:proofErr w:type="spellEnd"/>
      <w:r>
        <w:t xml:space="preserve">.) 56. § (2) és (3) bekezdései, valamint a 242. § (2) bekezdése alapján, a </w:t>
      </w:r>
      <w:proofErr w:type="spellStart"/>
      <w:r>
        <w:t>Nektv</w:t>
      </w:r>
      <w:proofErr w:type="spellEnd"/>
      <w:r>
        <w:t xml:space="preserve">. 1. számú mellékletében felsorolt tizenhárom nemzetiség esetében </w:t>
      </w:r>
      <w:proofErr w:type="spellStart"/>
      <w:r>
        <w:t>nemzetiségenként</w:t>
      </w:r>
      <w:proofErr w:type="spellEnd"/>
      <w:r>
        <w:t xml:space="preserve">, jelen határozat 1-től 13-ig terjedő </w:t>
      </w:r>
      <w:hyperlink r:id="rId4" w:history="1">
        <w:r>
          <w:rPr>
            <w:rStyle w:val="Hiperhivatkozs"/>
          </w:rPr>
          <w:t>mellékletei</w:t>
        </w:r>
      </w:hyperlink>
    </w:p>
    <w:p w:rsidR="001C3B13" w:rsidRDefault="001C3B13" w:rsidP="001C3B13">
      <w:pPr>
        <w:pStyle w:val="NormlWeb"/>
        <w:spacing w:after="240" w:afterAutospacing="0"/>
        <w:jc w:val="both"/>
      </w:pPr>
      <w:r>
        <w:t>- I. pontjában felsorolja azon településeket, ahol a települési nemzetiségi önkormányzati képviselők választását kitűzi, és egyidejűleg meghatározza a jelöltállításhoz szükséges ajánlások számát,</w:t>
      </w:r>
    </w:p>
    <w:p w:rsidR="001C3B13" w:rsidRDefault="001C3B13" w:rsidP="001C3B13">
      <w:pPr>
        <w:pStyle w:val="NormlWeb"/>
        <w:spacing w:after="240" w:afterAutospacing="0"/>
        <w:jc w:val="both"/>
      </w:pPr>
      <w:r>
        <w:t>- II. pontjában felsorolja azokat a megyéket, ahol a területi nemzetiségi önkormányzati képviselők választását kitűzi, és egyidejűleg meghatározza a területi lista állításához szükséges ajánlások számát,</w:t>
      </w:r>
    </w:p>
    <w:p w:rsidR="001C3B13" w:rsidRDefault="001C3B13" w:rsidP="001C3B13">
      <w:pPr>
        <w:pStyle w:val="NormlWeb"/>
        <w:spacing w:after="240" w:afterAutospacing="0"/>
        <w:jc w:val="both"/>
      </w:pPr>
      <w:r>
        <w:t>- III. pontjában meghatározza az országos nemzetiségi önkormányzati választásokon az országos lista állításához szükséges ajánlások számát.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 xml:space="preserve">A határozat ellen a meghozatalától számított 3 napon belül az ügyben érintett természetes és jogi személy, jogi személyiség nélküli szervezet személyesen, levélben, vagy elektronikus dokumentumként a Kúriához címzett bírósági felülvizsgálat iránti kérelmet nyújthat be a Nemzeti Választási Bizottságnál (1054 Budapest, Alkotmány u. 3.; levélcím: 1397 Budapest </w:t>
      </w:r>
      <w:proofErr w:type="spellStart"/>
      <w:r>
        <w:t>Pf</w:t>
      </w:r>
      <w:proofErr w:type="spellEnd"/>
      <w:r>
        <w:t>: 547.; e-mail: nvb@nvi.hu). A bírósági felülvizsgálat iránti kérelmet úgy kell benyújtani, hogy az legkésőbb 2019. augusztus 2-án 16.00 óráig megérkezzen. A bírósági felülvizsgálat iránti kérelem elektronikus dokumentumként való benyújtása esetén a kérelem benyújtójának jogi képviselője minősített elektronikus aláírásával látja el a kérelmet. Az elektronikus dokumentumként benyújtott kérelem mellékleteit oldalhű másolatban elektronikus okirati formába kell alakítani. A bírósági eljárásban az ügyvédi képviselet kötelező. A jogi szakvizsgával rendelkező személy – a szakvizsga-bizonyítvány egyszerű másolatának csatolásával – saját ügyében ügyvédi képviselet nélkül is eljárhat. A bírósági eljárás nem tárgyi illetékmentes. A felülvizsgálati kérelem benyújtóját tárgyi illeték-feljegyzési jog illeti meg.</w:t>
      </w:r>
    </w:p>
    <w:p w:rsidR="001C3B13" w:rsidRDefault="001C3B13" w:rsidP="001C3B13">
      <w:pPr>
        <w:pStyle w:val="NormlWeb"/>
        <w:autoSpaceDE w:val="0"/>
        <w:autoSpaceDN w:val="0"/>
        <w:spacing w:after="120" w:afterAutospacing="0"/>
        <w:jc w:val="center"/>
      </w:pPr>
      <w:r>
        <w:rPr>
          <w:rStyle w:val="Kiemels2"/>
        </w:rPr>
        <w:t>Indokolás</w:t>
      </w:r>
    </w:p>
    <w:p w:rsidR="001C3B13" w:rsidRDefault="001C3B13" w:rsidP="001C3B13">
      <w:pPr>
        <w:pStyle w:val="NormlWeb"/>
        <w:autoSpaceDE w:val="0"/>
        <w:autoSpaceDN w:val="0"/>
        <w:spacing w:after="120" w:afterAutospacing="0"/>
        <w:jc w:val="center"/>
      </w:pPr>
      <w:r>
        <w:rPr>
          <w:rStyle w:val="Kiemels2"/>
        </w:rPr>
        <w:t>I.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>[A nemzetiségi önkormányzati képviselők általános választása kitűzésének jogszabályi feltételei]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lastRenderedPageBreak/>
        <w:t xml:space="preserve">[1] A </w:t>
      </w:r>
      <w:proofErr w:type="spellStart"/>
      <w:r>
        <w:t>Nektv</w:t>
      </w:r>
      <w:proofErr w:type="spellEnd"/>
      <w:r>
        <w:t xml:space="preserve">. 1. § (1) bekezdése szerint, a törvény értelmében nemzetiség minden olyan – Magyarország területén legalább egy évszázada honos – népcsoport, amely az állam lakossága körében számszerű kisebbségben van, a lakosság többi részétől saját nyelve, kultúrája és hagyományai különböztetik meg, egyben olyan összetartozás-tudatról tesz bizonyságot, amely mindezek megőrzésére, történelmileg kialakult közösségeik érdekeinek kifejezésére és védelmére irányul. A </w:t>
      </w:r>
      <w:proofErr w:type="spellStart"/>
      <w:r>
        <w:t>Nektv</w:t>
      </w:r>
      <w:proofErr w:type="spellEnd"/>
      <w:r>
        <w:t>. értelmében nemzetiségnek minősül: a bolgár, a görög, a horvát, a lengyel, a német, az örmény, a roma, a román, a ruszin, a szerb, a szlovák, a szlovén és az ukrán.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 xml:space="preserve">[2] A </w:t>
      </w:r>
      <w:proofErr w:type="spellStart"/>
      <w:r>
        <w:t>Nektv</w:t>
      </w:r>
      <w:proofErr w:type="spellEnd"/>
      <w:r>
        <w:t>. 50. §-a szerint a nemzetiségek közvetlen választással a községben, a városban és a fővárosi kerületben települési, a fővárosban és a megyében területi, valamint országos nemzetiségi önkormányzatot hozhatnak létre.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 xml:space="preserve">[3] A választási eljárásról szóló 2013. évi XXXVI. törvény (a továbbiakban: </w:t>
      </w:r>
      <w:proofErr w:type="spellStart"/>
      <w:r>
        <w:t>Ve</w:t>
      </w:r>
      <w:proofErr w:type="spellEnd"/>
      <w:r>
        <w:t>.) 309. § (1) bekezdése szerint a nemzetiségi önkormányzati képviselők általános választását a Nemzeti Választási Bizottság legkésőbb a szavazás napja előtti hetvenötödik napon, a helyi önkormányzati képviselők és polgármesterek általános választásának napjára tűzi ki.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 xml:space="preserve">[4] A </w:t>
      </w:r>
      <w:proofErr w:type="spellStart"/>
      <w:r>
        <w:t>Nektv</w:t>
      </w:r>
      <w:proofErr w:type="spellEnd"/>
      <w:r>
        <w:t xml:space="preserve">. 242. § (2) bekezdése szerint a nemzetiségi önkormányzati képviselők 2024. évi általános választását megelőzően a települési nemzetiségi önkormányzati képviselők választását ki kell tűzni, ha a településen az adott nemzetiséghez tartozó személyek száma – a legutolsó népszámlálásnak az adott nemzetiséghez tartozásra vonatkozó kérdéseire nyújtott adatszolgáltatás </w:t>
      </w:r>
      <w:proofErr w:type="spellStart"/>
      <w:r>
        <w:t>nemzetiségenként</w:t>
      </w:r>
      <w:proofErr w:type="spellEnd"/>
      <w:r>
        <w:t xml:space="preserve"> összesített adatai szerint – a huszonöt főt eléri. Mindezek alapján a Nemzeti Választási Bizottság a nemzetiségi önkormányzati képviselők 2019. évi általános választását ugyanazokon a településeken tűzi ki, amelyekben az 1128/2014. számú határozatában 2014-ben is rendelkezett a kitűzésről. A határozatot a Kúria Kvk.II.37.825/2014/2.</w:t>
      </w:r>
      <w:proofErr w:type="gramStart"/>
      <w:r>
        <w:t>,  Kvk.II</w:t>
      </w:r>
      <w:proofErr w:type="gramEnd"/>
      <w:r>
        <w:t>.37.824/2014/2. és Kvk.II.37.823/2014/3. számú végzéseivel helybenhagyta.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 xml:space="preserve">[5] A </w:t>
      </w:r>
      <w:proofErr w:type="spellStart"/>
      <w:r>
        <w:t>Nektv</w:t>
      </w:r>
      <w:proofErr w:type="spellEnd"/>
      <w:r>
        <w:t>. 56. § (2) bekezdése szerint a területi nemzetiségi önkormányzati képviselők választását ki kell tűzni, ha a fővárosban, megyében kitűzött települési választások száma legalább tíz.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 xml:space="preserve">[6] A </w:t>
      </w:r>
      <w:proofErr w:type="spellStart"/>
      <w:r>
        <w:t>Nektv</w:t>
      </w:r>
      <w:proofErr w:type="spellEnd"/>
      <w:r>
        <w:t>. 56. § (3) bekezdése szerint az országos nemzetiségi önkormányzati képviselők választását ki kell tűzni.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 xml:space="preserve">[7] A </w:t>
      </w:r>
      <w:proofErr w:type="spellStart"/>
      <w:r>
        <w:t>Ve</w:t>
      </w:r>
      <w:proofErr w:type="spellEnd"/>
      <w:r>
        <w:t>. 316. §-a szerint a választást kitűző határozatban a Nemzeti Választási Bizottságnak egyidejűleg meg kell állapítania a települési nemzetiségi önkormányzati jelölt, valamint a területi és az országos nemzetiségi lista állításához szükséges ajánlások számát, egész számra felfelé kerekítve.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 xml:space="preserve">[8] A </w:t>
      </w:r>
      <w:proofErr w:type="spellStart"/>
      <w:r>
        <w:t>Nektv</w:t>
      </w:r>
      <w:proofErr w:type="spellEnd"/>
      <w:r>
        <w:t>. 51. § (1) bekezdése szerint a települési nemzetiségi önkormányzati képviselők száma három fő, ha a nemzetiségi névjegyzékben szereplő választópolgárok száma a választás kitűzésének napján kevesebb, mint száz fő, amennyiben legalább száz fő, úgy a megválasztható képviselők száma öt fő. Ugyanezen szakasz (2) bekezdése szerint a területi nemzetiségi önkormányzati képviselők száma hét fő.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 xml:space="preserve">[9] A </w:t>
      </w:r>
      <w:proofErr w:type="spellStart"/>
      <w:r>
        <w:t>Nektv</w:t>
      </w:r>
      <w:proofErr w:type="spellEnd"/>
      <w:r>
        <w:t>. 52. §-a szerint az országos nemzetiségi önkormányzati képviselők száma: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>-      tizenöt fő, ha a nemzetiségi névjegyzékben szereplő választópolgárok száma a választás kitűzésének napján nem több mint ötezer,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>-      huszonhárom fő, ha a nemzetiségi névjegyzékben szereplő választópolgárok száma a választás kitűzésének napján több mint ötezer,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>-      harmincegy fő, ha a nemzetiségi névjegyzékben szereplő választópolgárok száma a választás kitűzésének napján több mint tízezer,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lastRenderedPageBreak/>
        <w:t>-      harminckilenc fő, ha a nemzetiségi névjegyzékben szereplő választópolgárok száma a választás kitűzésének napján több mint huszonötezer,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>-      negyvenhét fő, ha a nemzetiségi névjegyzékben szereplő választópolgárok száma a választás kitűzésének napján több mint ötvenezer.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 xml:space="preserve">[10] A köztársasági elnök 308/2019. (VII. 26.) KE határozatával 2019. október 13. napjára tűzte ki a helyi önkormányzati képviselők és polgármesterek 2019. évi általános választását. A </w:t>
      </w:r>
      <w:proofErr w:type="spellStart"/>
      <w:r>
        <w:t>Ve</w:t>
      </w:r>
      <w:proofErr w:type="spellEnd"/>
      <w:r>
        <w:t>. 309. § (1) bekezdésének rendelkezése szerint, a Nemzeti Választási Bizottságnak legkésőbb a szavazás napja előtti hetvenötödik napon, azaz 2019. július 30-án ki kell tűznie a nemzetiségi önkormányzati képviselők 2019. évi általános választását a helyi önkormányzati képviselők és polgármesterek általános választásának napjára.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 xml:space="preserve">[11] A Nemzeti Választási Bizottság jelen határozatának mellékletei a </w:t>
      </w:r>
      <w:proofErr w:type="spellStart"/>
      <w:r>
        <w:t>Nektv</w:t>
      </w:r>
      <w:proofErr w:type="spellEnd"/>
      <w:r>
        <w:t>. szerinti tizenhárom nemzetiség elnevezésének abc sorrendjében, 1-től 13-ig számozva, az alábbi, azonos szerkezetben tartalmazzák a nemzetiségi önkormányzati képviselők választása kitűzésének adatait: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 xml:space="preserve">Az 1-től 13-ig terjedő mellékletek I. pontja – az adott nemzetiség vonatkozásában – </w:t>
      </w:r>
      <w:proofErr w:type="spellStart"/>
      <w:r>
        <w:t>megyénként</w:t>
      </w:r>
      <w:proofErr w:type="spellEnd"/>
      <w:r>
        <w:t xml:space="preserve"> tartalmazza azon települések </w:t>
      </w:r>
      <w:proofErr w:type="gramStart"/>
      <w:r>
        <w:t>felsorolását</w:t>
      </w:r>
      <w:proofErr w:type="gramEnd"/>
      <w:r>
        <w:t xml:space="preserve"> ahol a Bizottság kitűzi a települési nemzetiségi önkormányzati képviselők választását, – mivel a 2011. évi népszámlálás adatai szerint az adott nemzetiséghez tartozó személyek száma a huszonöt főt eléri – valamint a népszámlálás adatai szerint az adott nemzetiséghez tartozók számát. Az I. pont tartalmazza továbbá a településen, a választás kitűzésének napján, az adott nemzetiség névjegyzékében szereplő választópolgárok számát, a </w:t>
      </w:r>
      <w:proofErr w:type="spellStart"/>
      <w:r>
        <w:t>Ve</w:t>
      </w:r>
      <w:proofErr w:type="spellEnd"/>
      <w:r>
        <w:t>. 316. §-</w:t>
      </w:r>
      <w:proofErr w:type="spellStart"/>
      <w:r>
        <w:t>ában</w:t>
      </w:r>
      <w:proofErr w:type="spellEnd"/>
      <w:r>
        <w:t xml:space="preserve"> foglaltakra tekintettel a jelölt állításához szükséges ajánlások számát, valamint a megválasztható képviselők számát.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>Az 1-től 13-ig terjedő mellékletek II. pontja – az adott nemzetiség vonatkozásában – tartalmazza azon megyék felsorolását, ahol az I. pont alapján kitűzött települési nemzetiségi önkormányzati választások számára figyelemmel, a Nemzeti Választási Bizottság kitűzi a területi nemzetiségi önkormányzati képviselők választását. A II. pont tartalmazza továbbá a választás kitűzésének napján a megyében, illetve Budapesten az adott nemzetiség névjegyzékében szereplő választópolgárok számát, a területi nemzetiségi lista állításához szükséges ajánlások számát, valamint annak tényét, hogy a megválasztható képviselők száma hét.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>Az 1-től 13-ig terjedő mellékletek III. pontja – az adott nemzetiség vonatkozásában – tartalmazza a választás kitűzésének napján az adott nemzetiség névjegyzékében szerepelő összes választópolgár számát, az országos nemzetiségi lista állításához szükséges ajánlások számát, valamint a megválasztható képviselők számát.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>[12] Mindezek alapján a Nemzeti Választási Bizottság a rendelkező részben foglaltak szerint határozott.</w:t>
      </w:r>
    </w:p>
    <w:p w:rsidR="001C3B13" w:rsidRDefault="001C3B13" w:rsidP="001C3B13">
      <w:pPr>
        <w:pStyle w:val="NormlWeb"/>
        <w:spacing w:after="0" w:afterAutospacing="0"/>
        <w:jc w:val="center"/>
      </w:pPr>
      <w:r>
        <w:rPr>
          <w:rStyle w:val="Kiemels2"/>
        </w:rPr>
        <w:t>II.</w:t>
      </w:r>
    </w:p>
    <w:p w:rsidR="001C3B13" w:rsidRDefault="001C3B13" w:rsidP="001C3B13">
      <w:pPr>
        <w:pStyle w:val="NormlWeb"/>
        <w:spacing w:before="120" w:beforeAutospacing="0" w:after="120" w:afterAutospacing="0"/>
      </w:pPr>
      <w:r>
        <w:t>[A határozat alapjául szolgáló jogszabályi rendelkezések]</w:t>
      </w:r>
    </w:p>
    <w:p w:rsidR="001C3B13" w:rsidRDefault="001C3B13" w:rsidP="001C3B13">
      <w:pPr>
        <w:pStyle w:val="NormlWeb"/>
        <w:spacing w:before="120" w:beforeAutospacing="0" w:after="120" w:afterAutospacing="0"/>
        <w:jc w:val="both"/>
      </w:pPr>
      <w:r>
        <w:t xml:space="preserve">[13] A határozat a </w:t>
      </w:r>
      <w:proofErr w:type="spellStart"/>
      <w:r>
        <w:t>Nektv</w:t>
      </w:r>
      <w:proofErr w:type="spellEnd"/>
      <w:r>
        <w:t xml:space="preserve">. 1. §-án, 50. §-án, 51. §-án, 52. §-án, 56. § (2) és (3) bekezdésén, 59. § (1) bekezdésén, 60. §-án, a 242. §-án, a </w:t>
      </w:r>
      <w:proofErr w:type="spellStart"/>
      <w:r>
        <w:t>Nektv</w:t>
      </w:r>
      <w:proofErr w:type="spellEnd"/>
      <w:r>
        <w:t xml:space="preserve">. 1. mellékletén, a </w:t>
      </w:r>
      <w:proofErr w:type="spellStart"/>
      <w:r>
        <w:t>Ve</w:t>
      </w:r>
      <w:proofErr w:type="spellEnd"/>
      <w:r>
        <w:t xml:space="preserve">. 309. § (1) bekezdésén, 316. §-án, a jogorvoslatról szóló tájékoztatás a </w:t>
      </w:r>
      <w:proofErr w:type="spellStart"/>
      <w:r>
        <w:t>Ve</w:t>
      </w:r>
      <w:proofErr w:type="spellEnd"/>
      <w:r>
        <w:t>. 222. § (1) bekezdésén, a 223. § (1) bekezdésén, a 224. § (1), (2) és (5) bekezdésén, a 331. §-án, 345. § (2) bekezdés a) pontján, az illetékekről szóló tájékoztatás az illetékekről szóló 1990. évi XCIII. törvény 37. § (1) bekezdésén, valamint a 62. § (1) bekezdés s) pontján alapul.</w:t>
      </w:r>
    </w:p>
    <w:p w:rsidR="001C3B13" w:rsidRDefault="001C3B13" w:rsidP="001C3B13">
      <w:pPr>
        <w:pStyle w:val="NormlWeb"/>
        <w:spacing w:after="0" w:afterAutospacing="0"/>
      </w:pPr>
      <w:r>
        <w:lastRenderedPageBreak/>
        <w:t>Budapest, 2019. július 30.</w:t>
      </w:r>
    </w:p>
    <w:p w:rsidR="001C3B13" w:rsidRDefault="001C3B13" w:rsidP="001C3B13">
      <w:pPr>
        <w:pStyle w:val="NormlWeb"/>
        <w:spacing w:after="0" w:afterAutospacing="0"/>
      </w:pPr>
      <w:r>
        <w:t> </w:t>
      </w:r>
    </w:p>
    <w:p w:rsidR="001C3B13" w:rsidRDefault="001C3B13" w:rsidP="001C3B13">
      <w:pPr>
        <w:pStyle w:val="NormlWeb"/>
        <w:spacing w:after="0" w:afterAutospacing="0"/>
      </w:pPr>
      <w:r>
        <w:rPr>
          <w:rStyle w:val="Kiemels2"/>
        </w:rPr>
        <w:t xml:space="preserve">                                                                                                Dr. </w:t>
      </w:r>
      <w:proofErr w:type="spellStart"/>
      <w:r>
        <w:rPr>
          <w:rStyle w:val="Kiemels2"/>
        </w:rPr>
        <w:t>Rádi</w:t>
      </w:r>
      <w:proofErr w:type="spellEnd"/>
      <w:r>
        <w:rPr>
          <w:rStyle w:val="Kiemels2"/>
        </w:rPr>
        <w:t xml:space="preserve"> Péter</w:t>
      </w:r>
    </w:p>
    <w:p w:rsidR="001C3B13" w:rsidRDefault="001C3B13" w:rsidP="001C3B13">
      <w:pPr>
        <w:pStyle w:val="NormlWeb"/>
        <w:spacing w:after="0" w:afterAutospacing="0"/>
      </w:pPr>
      <w:r>
        <w:rPr>
          <w:rStyle w:val="Kiemels2"/>
        </w:rPr>
        <w:t>                                                                                a Nemzeti Választási Bizottság</w:t>
      </w:r>
    </w:p>
    <w:p w:rsidR="001C3B13" w:rsidRDefault="001C3B13" w:rsidP="001C3B13">
      <w:pPr>
        <w:pStyle w:val="NormlWeb"/>
        <w:spacing w:after="0" w:afterAutospacing="0"/>
      </w:pPr>
      <w:r>
        <w:rPr>
          <w:rStyle w:val="Kiemels2"/>
        </w:rPr>
        <w:t>                                                                                                       elnöke</w:t>
      </w:r>
    </w:p>
    <w:p w:rsidR="001C3B13" w:rsidRDefault="001C3B13" w:rsidP="001C3B13">
      <w:pPr>
        <w:pStyle w:val="NormlWeb"/>
        <w:spacing w:after="0" w:afterAutospacing="0"/>
      </w:pPr>
      <w:r>
        <w:t> </w:t>
      </w:r>
    </w:p>
    <w:p w:rsidR="007564B1" w:rsidRDefault="007564B1">
      <w:bookmarkStart w:id="0" w:name="_GoBack"/>
      <w:bookmarkEnd w:id="0"/>
    </w:p>
    <w:sectPr w:rsidR="0075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13"/>
    <w:rsid w:val="001C3B13"/>
    <w:rsid w:val="0075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F98FF-08D5-4D49-8091-4BC95ED0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3B1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C3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lasztas.hu/documents/20182/2045078/183per2019+NVB+hat%C3%A1rozat+mell%C3%A9klete.pdf/d164aac4-535d-52f4-5253-899e82cb715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2019-08-01T07:48:00Z</dcterms:created>
  <dcterms:modified xsi:type="dcterms:W3CDTF">2019-08-01T07:49:00Z</dcterms:modified>
</cp:coreProperties>
</file>